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9B99" w14:textId="77777777" w:rsidR="00782BBF" w:rsidRPr="00782BBF" w:rsidRDefault="00782BBF" w:rsidP="00782BBF">
      <w:pPr>
        <w:tabs>
          <w:tab w:val="left" w:pos="993"/>
        </w:tabs>
        <w:spacing w:before="60" w:after="60" w:line="240" w:lineRule="auto"/>
        <w:contextualSpacing/>
        <w:jc w:val="both"/>
        <w:outlineLvl w:val="0"/>
        <w:rPr>
          <w:rFonts w:eastAsia="Calibri" w:cs="Times New Roman"/>
          <w:b/>
          <w:caps/>
          <w:kern w:val="0"/>
          <w:sz w:val="24"/>
          <w:szCs w:val="24"/>
          <w14:ligatures w14:val="none"/>
        </w:rPr>
      </w:pPr>
      <w:bookmarkStart w:id="0" w:name="_Toc144988397"/>
      <w:bookmarkStart w:id="1" w:name="_Toc146804916"/>
      <w:r w:rsidRPr="00782BBF">
        <w:rPr>
          <w:rFonts w:eastAsia="Calibri" w:cs="Times New Roman"/>
          <w:b/>
          <w:caps/>
          <w:kern w:val="0"/>
          <w:sz w:val="24"/>
          <w:szCs w:val="24"/>
          <w14:ligatures w14:val="none"/>
        </w:rPr>
        <w:t>Âu thuyền</w:t>
      </w:r>
      <w:bookmarkEnd w:id="0"/>
      <w:bookmarkEnd w:id="1"/>
    </w:p>
    <w:p w14:paraId="0156FA7A" w14:textId="77777777" w:rsidR="00782BBF" w:rsidRPr="00782BBF" w:rsidRDefault="00782BBF" w:rsidP="00782BBF">
      <w:pPr>
        <w:spacing w:before="60" w:after="60" w:line="240" w:lineRule="auto"/>
        <w:jc w:val="both"/>
        <w:rPr>
          <w:rFonts w:eastAsia="Calibri" w:cs="Times New Roman"/>
          <w:kern w:val="0"/>
          <w:sz w:val="28"/>
          <w:szCs w:val="28"/>
          <w14:ligatures w14:val="none"/>
        </w:rPr>
      </w:pPr>
      <w:r w:rsidRPr="00782BBF">
        <w:rPr>
          <w:rFonts w:eastAsia="Calibri" w:cs="Times New Roman"/>
          <w:kern w:val="0"/>
          <w:sz w:val="28"/>
          <w:szCs w:val="28"/>
          <w14:ligatures w14:val="none"/>
        </w:rPr>
        <w:t xml:space="preserve">cg. âu tàu, công trình dạng khoang hình hộp chữ nhật, có các cánh cửa chuyển động được và không thoát nước hai đầu. ÂT được xây dựng hoặc lắp đặt trên các kênh rạch hoặc cảng biển </w:t>
      </w:r>
      <w:r w:rsidRPr="00782BBF">
        <w:rPr>
          <w:rFonts w:eastAsia="Calibri" w:cs="Times New Roman"/>
          <w:kern w:val="0"/>
          <w:sz w:val="28"/>
          <w:szCs w:val="28"/>
          <w:shd w:val="clear" w:color="auto" w:fill="FFFFFF"/>
          <w14:ligatures w14:val="none"/>
        </w:rPr>
        <w:t xml:space="preserve">để tăng và giảm mực nước, giúp các phương tiện giao thông đường thủy đi vào hệ thống đường thủy liền kề có mực nước chênh lệch nhau. Bộ phận cơ bản của ÂT là khoang chứa nước cố định có chiều rộng và chiều dài có thể chứa được phương tiện giao thông đường thủy (tàu, xà lan, ...), mực nước trong khoang có thể thay đổi thông qua các cánh cửa. </w:t>
      </w:r>
      <w:r w:rsidRPr="00782BBF">
        <w:rPr>
          <w:rFonts w:eastAsia="Calibri" w:cs="Times New Roman"/>
          <w:kern w:val="0"/>
          <w:sz w:val="28"/>
          <w:szCs w:val="28"/>
          <w14:ligatures w14:val="none"/>
        </w:rPr>
        <w:t xml:space="preserve">Tàu thuyền được nước nâng </w:t>
      </w:r>
      <w:r w:rsidRPr="00782BBF">
        <w:rPr>
          <w:rFonts w:eastAsia="Calibri" w:cs="Times New Roman"/>
          <w:kern w:val="0"/>
          <w:sz w:val="28"/>
          <w:szCs w:val="28"/>
          <w:shd w:val="clear" w:color="auto" w:fill="FFFFFF"/>
          <w14:ligatures w14:val="none"/>
        </w:rPr>
        <w:t>lên hay hạ xuống bằng cách cho nước vào hay thoát nước ra khỏi khoang sao cho ngang</w:t>
      </w:r>
      <w:r w:rsidRPr="00782BBF">
        <w:rPr>
          <w:rFonts w:eastAsia="Calibri" w:cs="Times New Roman"/>
          <w:kern w:val="0"/>
          <w:sz w:val="28"/>
          <w:szCs w:val="28"/>
          <w14:ligatures w14:val="none"/>
        </w:rPr>
        <w:t xml:space="preserve"> bằng với mực nước mong muốn ở thượng lưu hoặc hạ lưu. ÂT giúp các phương tiện giao thông đường thủy di chuyển dễ dàng tại các vùng có độ cao mực nước khác nhau, ở khu vực có các kênh đào dẫn nước, hoặc xưởng sửa chữa tàu thuyền, đập nước, đập thủy điện.</w:t>
      </w:r>
    </w:p>
    <w:p w14:paraId="00D3CF26" w14:textId="77777777" w:rsidR="00782BBF" w:rsidRPr="00782BBF" w:rsidRDefault="00782BBF" w:rsidP="00782BBF">
      <w:pPr>
        <w:spacing w:before="60" w:after="60" w:line="240" w:lineRule="auto"/>
        <w:ind w:firstLine="720"/>
        <w:jc w:val="both"/>
        <w:rPr>
          <w:rFonts w:eastAsia="Calibri" w:cs="Times New Roman"/>
          <w:kern w:val="0"/>
          <w:sz w:val="28"/>
          <w:szCs w:val="28"/>
          <w14:ligatures w14:val="none"/>
        </w:rPr>
      </w:pPr>
      <w:r w:rsidRPr="00782BBF">
        <w:rPr>
          <w:rFonts w:eastAsia="Calibri" w:cs="Times New Roman"/>
          <w:kern w:val="0"/>
          <w:sz w:val="28"/>
          <w:szCs w:val="28"/>
          <w14:ligatures w14:val="none"/>
        </w:rPr>
        <w:t>Nguyên lý ÂT cũng được áp dụng để tạo đường dẫn di chuyển cho các đàn cá qua các công trình chặn dòng, làm cản trở đường di cư ngược dòng của một số loài cá để đẻ trứng như cá hồi. Ở Việt Nam, ÂT được hiểu là một vùng nước nơi có tàu, thuyền neo đậu thường xuyên như ÂT Thọ Quang ở thành phố Đà Nẵng.</w:t>
      </w:r>
    </w:p>
    <w:p w14:paraId="58BE9A74" w14:textId="77777777" w:rsidR="00782BBF" w:rsidRPr="00782BBF" w:rsidRDefault="00782BBF" w:rsidP="00782BBF">
      <w:pPr>
        <w:spacing w:before="60" w:after="60" w:line="240" w:lineRule="auto"/>
        <w:jc w:val="right"/>
        <w:rPr>
          <w:rFonts w:eastAsia="Calibri" w:cs="Times New Roman"/>
          <w:kern w:val="0"/>
          <w:sz w:val="20"/>
          <w:szCs w:val="20"/>
          <w14:ligatures w14:val="none"/>
        </w:rPr>
      </w:pPr>
      <w:r w:rsidRPr="00782BBF">
        <w:rPr>
          <w:rFonts w:eastAsia="Calibri" w:cs="Times New Roman"/>
          <w:b/>
          <w:kern w:val="0"/>
          <w:sz w:val="20"/>
          <w:szCs w:val="20"/>
          <w14:ligatures w14:val="none"/>
        </w:rPr>
        <w:t>NGUYỄN VĂN TƯỜNG</w:t>
      </w:r>
    </w:p>
    <w:p w14:paraId="23383B94" w14:textId="77777777" w:rsidR="00782BBF" w:rsidRPr="00782BBF" w:rsidRDefault="00782BBF" w:rsidP="00782BBF">
      <w:pPr>
        <w:spacing w:before="60" w:after="60" w:line="240" w:lineRule="auto"/>
        <w:ind w:left="284" w:hanging="284"/>
        <w:jc w:val="both"/>
        <w:rPr>
          <w:rFonts w:eastAsia="Calibri" w:cs="Times New Roman"/>
          <w:b/>
          <w:kern w:val="0"/>
          <w:sz w:val="20"/>
          <w:szCs w:val="20"/>
          <w14:ligatures w14:val="none"/>
        </w:rPr>
      </w:pPr>
      <w:r w:rsidRPr="00782BBF">
        <w:rPr>
          <w:rFonts w:eastAsia="Calibri" w:cs="Times New Roman"/>
          <w:b/>
          <w:kern w:val="0"/>
          <w:sz w:val="20"/>
          <w:szCs w:val="20"/>
          <w14:ligatures w14:val="none"/>
        </w:rPr>
        <w:t>Tài liệu tham khảo:</w:t>
      </w:r>
    </w:p>
    <w:p w14:paraId="3F52696B" w14:textId="77777777" w:rsidR="00782BBF" w:rsidRPr="00782BBF" w:rsidRDefault="00782BBF" w:rsidP="00782BBF">
      <w:pPr>
        <w:spacing w:before="60" w:after="60" w:line="240" w:lineRule="auto"/>
        <w:jc w:val="both"/>
        <w:rPr>
          <w:rFonts w:eastAsia="Calibri" w:cs="Times New Roman"/>
          <w:kern w:val="0"/>
          <w:sz w:val="20"/>
          <w:szCs w:val="20"/>
          <w14:ligatures w14:val="none"/>
        </w:rPr>
      </w:pPr>
      <w:r w:rsidRPr="00782BBF">
        <w:rPr>
          <w:rFonts w:eastAsia="Calibri" w:cs="Times New Roman"/>
          <w:kern w:val="0"/>
          <w:sz w:val="20"/>
          <w:szCs w:val="20"/>
          <w14:ligatures w14:val="none"/>
        </w:rPr>
        <w:t xml:space="preserve">1. Đường Hồng Dật (Chb.), </w:t>
      </w:r>
      <w:r w:rsidRPr="00782BBF">
        <w:rPr>
          <w:rFonts w:eastAsia="Calibri" w:cs="Times New Roman"/>
          <w:i/>
          <w:iCs/>
          <w:kern w:val="0"/>
          <w:sz w:val="20"/>
          <w:szCs w:val="20"/>
          <w14:ligatures w14:val="none"/>
        </w:rPr>
        <w:t>Từ điển Bách khoa Nông nghiệp Việt Nam</w:t>
      </w:r>
      <w:r w:rsidRPr="00782BBF">
        <w:rPr>
          <w:rFonts w:eastAsia="Calibri" w:cs="Times New Roman"/>
          <w:kern w:val="0"/>
          <w:sz w:val="20"/>
          <w:szCs w:val="20"/>
          <w14:ligatures w14:val="none"/>
        </w:rPr>
        <w:t>, Nxb. Nông nghiệp, 2014.</w:t>
      </w:r>
    </w:p>
    <w:p w14:paraId="57A300BE" w14:textId="77777777" w:rsidR="00782BBF" w:rsidRPr="00782BBF" w:rsidRDefault="00782BBF" w:rsidP="00782BBF">
      <w:pPr>
        <w:spacing w:before="60" w:after="60" w:line="240" w:lineRule="auto"/>
        <w:jc w:val="both"/>
        <w:rPr>
          <w:rFonts w:eastAsia="Calibri" w:cs="Times New Roman"/>
          <w:kern w:val="0"/>
          <w:sz w:val="20"/>
          <w:szCs w:val="20"/>
          <w14:ligatures w14:val="none"/>
        </w:rPr>
      </w:pPr>
      <w:r w:rsidRPr="00782BBF">
        <w:rPr>
          <w:rFonts w:eastAsia="Calibri" w:cs="Times New Roman"/>
          <w:kern w:val="0"/>
          <w:sz w:val="20"/>
          <w:szCs w:val="20"/>
          <w14:ligatures w14:val="none"/>
        </w:rPr>
        <w:t xml:space="preserve">2. Viện từ điển học và Bách khoa thư Việt Nam, </w:t>
      </w:r>
      <w:r w:rsidRPr="00782BBF">
        <w:rPr>
          <w:rFonts w:eastAsia="Calibri" w:cs="Times New Roman"/>
          <w:i/>
          <w:iCs/>
          <w:kern w:val="0"/>
          <w:sz w:val="20"/>
          <w:szCs w:val="20"/>
          <w14:ligatures w14:val="none"/>
        </w:rPr>
        <w:t>Từ điển kỹ thuật bách khoa</w:t>
      </w:r>
      <w:r w:rsidRPr="00782BBF">
        <w:rPr>
          <w:rFonts w:eastAsia="Calibri" w:cs="Times New Roman"/>
          <w:kern w:val="0"/>
          <w:sz w:val="20"/>
          <w:szCs w:val="20"/>
          <w14:ligatures w14:val="none"/>
        </w:rPr>
        <w:t>, Nxb. Khoa học và Kỹ thuật, 2014.</w:t>
      </w:r>
    </w:p>
    <w:p w14:paraId="23604ED2" w14:textId="77777777" w:rsidR="00782BBF" w:rsidRPr="00782BBF" w:rsidRDefault="00782BBF" w:rsidP="00782BBF">
      <w:pPr>
        <w:tabs>
          <w:tab w:val="left" w:pos="284"/>
        </w:tabs>
        <w:spacing w:before="60" w:after="60" w:line="240" w:lineRule="auto"/>
        <w:jc w:val="both"/>
        <w:rPr>
          <w:rFonts w:eastAsia="Calibri" w:cs="Times New Roman"/>
          <w:kern w:val="0"/>
          <w:sz w:val="20"/>
          <w:szCs w:val="20"/>
          <w14:ligatures w14:val="none"/>
        </w:rPr>
      </w:pPr>
      <w:r w:rsidRPr="00782BBF">
        <w:rPr>
          <w:rFonts w:eastAsia="Calibri" w:cs="Times New Roman"/>
          <w:kern w:val="0"/>
          <w:sz w:val="20"/>
          <w:szCs w:val="20"/>
          <w14:ligatures w14:val="none"/>
        </w:rPr>
        <w:t xml:space="preserve">3. Silva, S., Lowry, M., Macaya - Solis, C., Byatt, B., &amp; Lucas, M. C, </w:t>
      </w:r>
      <w:r w:rsidRPr="00782BBF">
        <w:rPr>
          <w:rFonts w:eastAsia="Calibri" w:cs="Times New Roman"/>
          <w:i/>
          <w:iCs/>
          <w:kern w:val="0"/>
          <w:sz w:val="20"/>
          <w:szCs w:val="20"/>
          <w14:ligatures w14:val="none"/>
        </w:rPr>
        <w:t>Can navigation locks be used to help migratory fishes with poor swimming performance pass tidal barrages? A test with lampreys. Ecological Engineering</w:t>
      </w:r>
      <w:r w:rsidRPr="00782BBF">
        <w:rPr>
          <w:rFonts w:eastAsia="Calibri" w:cs="Times New Roman"/>
          <w:kern w:val="0"/>
          <w:sz w:val="20"/>
          <w:szCs w:val="20"/>
          <w14:ligatures w14:val="none"/>
        </w:rPr>
        <w:t>, 2017, Pp. 102, 291 - 302.</w:t>
      </w:r>
    </w:p>
    <w:p w14:paraId="79D28428" w14:textId="77777777" w:rsidR="002B1871" w:rsidRDefault="002B1871"/>
    <w:sectPr w:rsidR="002B1871" w:rsidSect="002F0A7D">
      <w:pgSz w:w="11906" w:h="16838" w:code="9"/>
      <w:pgMar w:top="1134" w:right="1134" w:bottom="1134" w:left="1701" w:header="851" w:footer="992"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6198A"/>
    <w:multiLevelType w:val="hybridMultilevel"/>
    <w:tmpl w:val="E69A5278"/>
    <w:lvl w:ilvl="0" w:tplc="5768B9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90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5"/>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BF"/>
    <w:rsid w:val="00060052"/>
    <w:rsid w:val="0014220F"/>
    <w:rsid w:val="002B1871"/>
    <w:rsid w:val="002F0A7D"/>
    <w:rsid w:val="00587EC0"/>
    <w:rsid w:val="0070421C"/>
    <w:rsid w:val="00782BBF"/>
    <w:rsid w:val="0082578F"/>
    <w:rsid w:val="0098269E"/>
    <w:rsid w:val="00B264F8"/>
    <w:rsid w:val="00BF05C2"/>
    <w:rsid w:val="00EF64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F8E3"/>
  <w15:chartTrackingRefBased/>
  <w15:docId w15:val="{DD10E0A3-E49D-424B-82C1-B6DC3B34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52"/>
  </w:style>
  <w:style w:type="paragraph" w:styleId="Heading1">
    <w:name w:val="heading 1"/>
    <w:basedOn w:val="Normal"/>
    <w:next w:val="Normal"/>
    <w:link w:val="Heading1Char"/>
    <w:uiPriority w:val="9"/>
    <w:qFormat/>
    <w:rsid w:val="00782B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2B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2BB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2BB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82BBF"/>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82B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2B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2B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2B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BB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2BB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2BBF"/>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2BBF"/>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782BBF"/>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782B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2B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2B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2B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2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B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B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2BBF"/>
    <w:pPr>
      <w:spacing w:before="160"/>
      <w:jc w:val="center"/>
    </w:pPr>
    <w:rPr>
      <w:i/>
      <w:iCs/>
      <w:color w:val="404040" w:themeColor="text1" w:themeTint="BF"/>
    </w:rPr>
  </w:style>
  <w:style w:type="character" w:customStyle="1" w:styleId="QuoteChar">
    <w:name w:val="Quote Char"/>
    <w:basedOn w:val="DefaultParagraphFont"/>
    <w:link w:val="Quote"/>
    <w:uiPriority w:val="29"/>
    <w:rsid w:val="00782BBF"/>
    <w:rPr>
      <w:i/>
      <w:iCs/>
      <w:color w:val="404040" w:themeColor="text1" w:themeTint="BF"/>
    </w:rPr>
  </w:style>
  <w:style w:type="paragraph" w:styleId="ListParagraph">
    <w:name w:val="List Paragraph"/>
    <w:basedOn w:val="Normal"/>
    <w:uiPriority w:val="34"/>
    <w:qFormat/>
    <w:rsid w:val="00782BBF"/>
    <w:pPr>
      <w:ind w:left="720"/>
      <w:contextualSpacing/>
    </w:pPr>
  </w:style>
  <w:style w:type="character" w:styleId="IntenseEmphasis">
    <w:name w:val="Intense Emphasis"/>
    <w:basedOn w:val="DefaultParagraphFont"/>
    <w:uiPriority w:val="21"/>
    <w:qFormat/>
    <w:rsid w:val="00782BBF"/>
    <w:rPr>
      <w:i/>
      <w:iCs/>
      <w:color w:val="2E74B5" w:themeColor="accent1" w:themeShade="BF"/>
    </w:rPr>
  </w:style>
  <w:style w:type="paragraph" w:styleId="IntenseQuote">
    <w:name w:val="Intense Quote"/>
    <w:basedOn w:val="Normal"/>
    <w:next w:val="Normal"/>
    <w:link w:val="IntenseQuoteChar"/>
    <w:uiPriority w:val="30"/>
    <w:qFormat/>
    <w:rsid w:val="00782B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2BBF"/>
    <w:rPr>
      <w:i/>
      <w:iCs/>
      <w:color w:val="2E74B5" w:themeColor="accent1" w:themeShade="BF"/>
    </w:rPr>
  </w:style>
  <w:style w:type="character" w:styleId="IntenseReference">
    <w:name w:val="Intense Reference"/>
    <w:basedOn w:val="DefaultParagraphFont"/>
    <w:uiPriority w:val="32"/>
    <w:qFormat/>
    <w:rsid w:val="00782BB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Quy Dong</dc:creator>
  <cp:keywords/>
  <dc:description/>
  <cp:lastModifiedBy>Vu Quy Dong</cp:lastModifiedBy>
  <cp:revision>1</cp:revision>
  <dcterms:created xsi:type="dcterms:W3CDTF">2025-12-04T01:34:00Z</dcterms:created>
  <dcterms:modified xsi:type="dcterms:W3CDTF">2025-12-04T01:34:00Z</dcterms:modified>
</cp:coreProperties>
</file>